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ind w:firstLine="0" w:firstLineChars="0"/>
        <w:jc w:val="center"/>
        <w:textAlignment w:val="auto"/>
        <w:rPr>
          <w:rFonts w:ascii="Times New Roman" w:hAnsi="Times New Roman" w:eastAsia="宋体" w:cs="Arial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Table S1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1"/>
          <w:szCs w:val="21"/>
        </w:rPr>
        <w:t>Sensory evaluation scores of mung beans of different varieties at different germination dates</w:t>
      </w:r>
    </w:p>
    <w:tbl>
      <w:tblPr>
        <w:tblStyle w:val="3"/>
        <w:tblW w:w="4996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2"/>
        <w:gridCol w:w="1702"/>
        <w:gridCol w:w="1704"/>
        <w:gridCol w:w="1705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pct"/>
            <w:tcBorders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Arial"/>
                <w:b w:val="0"/>
                <w:bCs w:val="0"/>
                <w:sz w:val="21"/>
                <w:szCs w:val="18"/>
                <w:lang w:val="en-US" w:eastAsia="zh-CN"/>
              </w:rPr>
              <w:t>days</w:t>
            </w: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  <w:t>PB05</w:t>
            </w: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  <w:t>PB08</w:t>
            </w: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  <w:t>PB10</w:t>
            </w:r>
          </w:p>
        </w:tc>
        <w:tc>
          <w:tcPr>
            <w:tcW w:w="1001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center"/>
              <w:textAlignment w:val="auto"/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Arial"/>
                <w:b w:val="0"/>
                <w:bCs w:val="0"/>
                <w:sz w:val="21"/>
                <w:szCs w:val="18"/>
                <w:highlight w:val="none"/>
                <w:lang w:val="en-US" w:eastAsia="zh-CN"/>
              </w:rPr>
              <w:t>10L717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pct"/>
            <w:tcBorders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99" w:type="pct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34.3±0.58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  <w:tc>
          <w:tcPr>
            <w:tcW w:w="999" w:type="pct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2.7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  <w:tc>
          <w:tcPr>
            <w:tcW w:w="1001" w:type="pct"/>
            <w:tcBorders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2.7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6.3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ab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36±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6.7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ab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7.7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ab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7.7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8.7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pct"/>
            <w:tcBorders>
              <w:top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6.3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7.7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ab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" w:type="pct"/>
            <w:tcBorders>
              <w:top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Arial"/>
                <w:b w:val="0"/>
                <w:bCs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99" w:type="pct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  <w:tc>
          <w:tcPr>
            <w:tcW w:w="999" w:type="pct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35±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b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  <w:tc>
          <w:tcPr>
            <w:tcW w:w="1001" w:type="pct"/>
            <w:tcBorders>
              <w:top w:val="nil"/>
              <w:lef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±0.58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superscript"/>
                <w:lang w:val="en-US" w:eastAsia="zh-CN"/>
              </w:rPr>
              <w:t>a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334E88"/>
    <w:rsid w:val="483E177E"/>
    <w:rsid w:val="4B7B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2023-11-08T10:35:00Z</dcterms:created>
  <dc:creator>飞燕逐月</dc:creator>
  <cp:lastModifiedBy>Yinghao</cp:lastModifiedBy>
  <dcterms:modified xsi:type="dcterms:W3CDTF">2024-09-26T16:30:47Z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